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Grid-Accent1"/>
        <w:tblW w:w="0" w:type="auto"/>
        <w:tblLook w:val="0620"/>
      </w:tblPr>
      <w:tblGrid>
        <w:gridCol w:w="1668"/>
        <w:gridCol w:w="4110"/>
        <w:gridCol w:w="7358"/>
        <w:gridCol w:w="1038"/>
      </w:tblGrid>
      <w:tr w:rsidR="00687524" w:rsidTr="00687524">
        <w:trPr>
          <w:cnfStyle w:val="100000000000"/>
        </w:trPr>
        <w:tc>
          <w:tcPr>
            <w:tcW w:w="1668" w:type="dxa"/>
          </w:tcPr>
          <w:p w:rsidR="00687524" w:rsidRPr="00687524" w:rsidRDefault="00687524">
            <w:pPr>
              <w:rPr>
                <w:b w:val="0"/>
                <w:sz w:val="20"/>
                <w:szCs w:val="20"/>
              </w:rPr>
            </w:pPr>
            <w:r w:rsidRPr="00687524">
              <w:rPr>
                <w:b w:val="0"/>
                <w:sz w:val="20"/>
                <w:szCs w:val="20"/>
              </w:rPr>
              <w:t>SEPP</w:t>
            </w:r>
          </w:p>
        </w:tc>
        <w:tc>
          <w:tcPr>
            <w:tcW w:w="4110" w:type="dxa"/>
          </w:tcPr>
          <w:p w:rsidR="00687524" w:rsidRPr="00687524" w:rsidRDefault="00687524">
            <w:pPr>
              <w:rPr>
                <w:b w:val="0"/>
                <w:sz w:val="20"/>
                <w:szCs w:val="20"/>
              </w:rPr>
            </w:pPr>
            <w:r w:rsidRPr="00687524">
              <w:rPr>
                <w:b w:val="0"/>
                <w:sz w:val="20"/>
                <w:szCs w:val="20"/>
              </w:rPr>
              <w:t xml:space="preserve">SEPP </w:t>
            </w:r>
            <w:r w:rsidR="0099360C">
              <w:rPr>
                <w:b w:val="0"/>
                <w:sz w:val="20"/>
                <w:szCs w:val="20"/>
              </w:rPr>
              <w:t>Principles</w:t>
            </w:r>
          </w:p>
        </w:tc>
        <w:tc>
          <w:tcPr>
            <w:tcW w:w="7358" w:type="dxa"/>
          </w:tcPr>
          <w:p w:rsidR="00687524" w:rsidRPr="00687524" w:rsidRDefault="00687524">
            <w:pPr>
              <w:rPr>
                <w:b w:val="0"/>
                <w:sz w:val="20"/>
                <w:szCs w:val="20"/>
              </w:rPr>
            </w:pPr>
            <w:r>
              <w:rPr>
                <w:b w:val="0"/>
                <w:sz w:val="20"/>
                <w:szCs w:val="20"/>
              </w:rPr>
              <w:t xml:space="preserve">Planning </w:t>
            </w:r>
            <w:r w:rsidRPr="00687524">
              <w:rPr>
                <w:b w:val="0"/>
                <w:sz w:val="20"/>
                <w:szCs w:val="20"/>
              </w:rPr>
              <w:t>Proposal</w:t>
            </w:r>
          </w:p>
        </w:tc>
        <w:tc>
          <w:tcPr>
            <w:tcW w:w="1038" w:type="dxa"/>
          </w:tcPr>
          <w:p w:rsidR="00687524" w:rsidRPr="00687524" w:rsidRDefault="00687524">
            <w:pPr>
              <w:rPr>
                <w:b w:val="0"/>
                <w:sz w:val="20"/>
                <w:szCs w:val="20"/>
              </w:rPr>
            </w:pPr>
            <w:r w:rsidRPr="00687524">
              <w:rPr>
                <w:b w:val="0"/>
                <w:sz w:val="20"/>
                <w:szCs w:val="20"/>
              </w:rPr>
              <w:t>Complies</w:t>
            </w:r>
          </w:p>
        </w:tc>
      </w:tr>
      <w:tr w:rsidR="00687524" w:rsidTr="00687524">
        <w:tc>
          <w:tcPr>
            <w:tcW w:w="1668" w:type="dxa"/>
          </w:tcPr>
          <w:p w:rsidR="00687524" w:rsidRPr="0099360C" w:rsidRDefault="001F3B79">
            <w:pPr>
              <w:rPr>
                <w:sz w:val="20"/>
                <w:szCs w:val="20"/>
              </w:rPr>
            </w:pPr>
            <w:r>
              <w:rPr>
                <w:sz w:val="20"/>
                <w:szCs w:val="20"/>
              </w:rPr>
              <w:t>No 7 – Rural Lands</w:t>
            </w:r>
          </w:p>
        </w:tc>
        <w:tc>
          <w:tcPr>
            <w:tcW w:w="4110" w:type="dxa"/>
          </w:tcPr>
          <w:p w:rsidR="00687524" w:rsidRPr="00596B8D" w:rsidRDefault="00596B8D">
            <w:pPr>
              <w:rPr>
                <w:b/>
                <w:sz w:val="20"/>
                <w:szCs w:val="20"/>
              </w:rPr>
            </w:pPr>
            <w:r w:rsidRPr="00596B8D">
              <w:rPr>
                <w:sz w:val="20"/>
                <w:szCs w:val="20"/>
              </w:rPr>
              <w:t xml:space="preserve">The principles of the Rural Lands SEPP are to recognise, promote and protect the significance of rural land in terms of current and future use for agricultural purposes, whilst ensuring there is a balance of protection of </w:t>
            </w:r>
            <w:r w:rsidR="0022796F">
              <w:rPr>
                <w:sz w:val="20"/>
                <w:szCs w:val="20"/>
              </w:rPr>
              <w:t xml:space="preserve">the </w:t>
            </w:r>
            <w:r w:rsidRPr="00596B8D">
              <w:rPr>
                <w:sz w:val="20"/>
                <w:szCs w:val="20"/>
              </w:rPr>
              <w:t xml:space="preserve">natural </w:t>
            </w:r>
            <w:r w:rsidR="0022796F">
              <w:rPr>
                <w:sz w:val="20"/>
                <w:szCs w:val="20"/>
              </w:rPr>
              <w:t>environment</w:t>
            </w:r>
            <w:r w:rsidRPr="00596B8D">
              <w:rPr>
                <w:sz w:val="20"/>
                <w:szCs w:val="20"/>
              </w:rPr>
              <w:t xml:space="preserve"> and a benefit to the rural community.</w:t>
            </w:r>
          </w:p>
        </w:tc>
        <w:tc>
          <w:tcPr>
            <w:tcW w:w="7358" w:type="dxa"/>
          </w:tcPr>
          <w:p w:rsidR="00687524" w:rsidRDefault="002C49BC">
            <w:pPr>
              <w:rPr>
                <w:sz w:val="20"/>
                <w:szCs w:val="20"/>
              </w:rPr>
            </w:pPr>
            <w:r>
              <w:rPr>
                <w:sz w:val="20"/>
                <w:szCs w:val="20"/>
              </w:rPr>
              <w:t xml:space="preserve">The planning proposal </w:t>
            </w:r>
            <w:r w:rsidR="00CA14DB">
              <w:rPr>
                <w:sz w:val="20"/>
                <w:szCs w:val="20"/>
              </w:rPr>
              <w:t>provides an opportunity for potential diverse economic activity, social, economic and environmental benefits for the lo</w:t>
            </w:r>
            <w:r w:rsidR="003860B6">
              <w:rPr>
                <w:sz w:val="20"/>
                <w:szCs w:val="20"/>
              </w:rPr>
              <w:t>cal community</w:t>
            </w:r>
            <w:r w:rsidR="00CA14DB">
              <w:rPr>
                <w:sz w:val="20"/>
                <w:szCs w:val="20"/>
              </w:rPr>
              <w:t xml:space="preserve">. It does </w:t>
            </w:r>
            <w:r w:rsidR="00A262A5">
              <w:rPr>
                <w:sz w:val="20"/>
                <w:szCs w:val="20"/>
              </w:rPr>
              <w:t xml:space="preserve">not </w:t>
            </w:r>
            <w:r w:rsidR="00CA14DB">
              <w:rPr>
                <w:sz w:val="20"/>
                <w:szCs w:val="20"/>
              </w:rPr>
              <w:t xml:space="preserve">decrease the agricultural production value of the land due to the </w:t>
            </w:r>
            <w:r w:rsidR="00A262A5">
              <w:rPr>
                <w:sz w:val="20"/>
                <w:szCs w:val="20"/>
              </w:rPr>
              <w:t xml:space="preserve">current </w:t>
            </w:r>
            <w:r w:rsidR="00CA14DB">
              <w:rPr>
                <w:sz w:val="20"/>
                <w:szCs w:val="20"/>
              </w:rPr>
              <w:t>non agricultural productivity of the subject land.</w:t>
            </w:r>
          </w:p>
          <w:p w:rsidR="00CA14DB" w:rsidRPr="00DE2A90" w:rsidRDefault="003860B6">
            <w:pPr>
              <w:rPr>
                <w:sz w:val="20"/>
                <w:szCs w:val="20"/>
              </w:rPr>
            </w:pPr>
            <w:r>
              <w:rPr>
                <w:sz w:val="20"/>
                <w:szCs w:val="20"/>
              </w:rPr>
              <w:t xml:space="preserve">The proposed development </w:t>
            </w:r>
            <w:r w:rsidR="00A262A5">
              <w:rPr>
                <w:sz w:val="20"/>
                <w:szCs w:val="20"/>
              </w:rPr>
              <w:t>does</w:t>
            </w:r>
            <w:r>
              <w:rPr>
                <w:sz w:val="20"/>
                <w:szCs w:val="20"/>
              </w:rPr>
              <w:t>,</w:t>
            </w:r>
            <w:r w:rsidR="00A262A5">
              <w:rPr>
                <w:sz w:val="20"/>
                <w:szCs w:val="20"/>
              </w:rPr>
              <w:t xml:space="preserve"> however</w:t>
            </w:r>
            <w:r>
              <w:rPr>
                <w:sz w:val="20"/>
                <w:szCs w:val="20"/>
              </w:rPr>
              <w:t>,</w:t>
            </w:r>
            <w:r w:rsidR="00A262A5">
              <w:rPr>
                <w:sz w:val="20"/>
                <w:szCs w:val="20"/>
              </w:rPr>
              <w:t xml:space="preserve"> restrict</w:t>
            </w:r>
            <w:r>
              <w:rPr>
                <w:sz w:val="20"/>
                <w:szCs w:val="20"/>
              </w:rPr>
              <w:t xml:space="preserve"> the</w:t>
            </w:r>
            <w:r w:rsidR="00CA14DB">
              <w:rPr>
                <w:sz w:val="20"/>
                <w:szCs w:val="20"/>
              </w:rPr>
              <w:t xml:space="preserve"> potential of the land to be used for primary production</w:t>
            </w:r>
            <w:r>
              <w:rPr>
                <w:sz w:val="20"/>
                <w:szCs w:val="20"/>
              </w:rPr>
              <w:t xml:space="preserve"> in the future</w:t>
            </w:r>
            <w:r w:rsidR="00CA14DB">
              <w:rPr>
                <w:sz w:val="20"/>
                <w:szCs w:val="20"/>
              </w:rPr>
              <w:t xml:space="preserve">.  </w:t>
            </w:r>
          </w:p>
        </w:tc>
        <w:tc>
          <w:tcPr>
            <w:tcW w:w="1038" w:type="dxa"/>
          </w:tcPr>
          <w:p w:rsidR="00687524" w:rsidRPr="00C5064E" w:rsidRDefault="006C061C">
            <w:pPr>
              <w:rPr>
                <w:sz w:val="20"/>
                <w:szCs w:val="20"/>
              </w:rPr>
            </w:pPr>
            <w:r>
              <w:rPr>
                <w:sz w:val="20"/>
                <w:szCs w:val="20"/>
              </w:rPr>
              <w:t>Yes</w:t>
            </w:r>
          </w:p>
        </w:tc>
      </w:tr>
      <w:tr w:rsidR="00D54663" w:rsidTr="00687524">
        <w:tc>
          <w:tcPr>
            <w:tcW w:w="1668" w:type="dxa"/>
          </w:tcPr>
          <w:p w:rsidR="00D54663" w:rsidRDefault="00F509F5">
            <w:pPr>
              <w:rPr>
                <w:sz w:val="20"/>
                <w:szCs w:val="20"/>
              </w:rPr>
            </w:pPr>
            <w:r>
              <w:rPr>
                <w:sz w:val="20"/>
                <w:szCs w:val="20"/>
              </w:rPr>
              <w:t xml:space="preserve">No </w:t>
            </w:r>
            <w:r w:rsidR="00D54663" w:rsidRPr="009D7AF3">
              <w:rPr>
                <w:sz w:val="20"/>
                <w:szCs w:val="20"/>
              </w:rPr>
              <w:t>55 – Remediation of Land</w:t>
            </w:r>
          </w:p>
        </w:tc>
        <w:tc>
          <w:tcPr>
            <w:tcW w:w="4110" w:type="dxa"/>
          </w:tcPr>
          <w:p w:rsidR="00D54663" w:rsidRPr="009D7AF3" w:rsidRDefault="00D54663" w:rsidP="00D54663">
            <w:pPr>
              <w:rPr>
                <w:sz w:val="20"/>
                <w:szCs w:val="20"/>
              </w:rPr>
            </w:pPr>
            <w:r>
              <w:rPr>
                <w:sz w:val="20"/>
                <w:szCs w:val="20"/>
              </w:rPr>
              <w:t>This policy aims to promote the remediation of contaminated land to reduce the risk of harm to human health.</w:t>
            </w:r>
          </w:p>
        </w:tc>
        <w:tc>
          <w:tcPr>
            <w:tcW w:w="7358" w:type="dxa"/>
          </w:tcPr>
          <w:p w:rsidR="00D54663" w:rsidRDefault="00D54663">
            <w:pPr>
              <w:rPr>
                <w:sz w:val="20"/>
                <w:szCs w:val="20"/>
              </w:rPr>
            </w:pPr>
            <w:r>
              <w:rPr>
                <w:sz w:val="20"/>
                <w:szCs w:val="20"/>
              </w:rPr>
              <w:t>There is no ev</w:t>
            </w:r>
            <w:r w:rsidR="00D11D01">
              <w:rPr>
                <w:sz w:val="20"/>
                <w:szCs w:val="20"/>
              </w:rPr>
              <w:t>idence or history of the</w:t>
            </w:r>
            <w:r>
              <w:rPr>
                <w:sz w:val="20"/>
                <w:szCs w:val="20"/>
              </w:rPr>
              <w:t xml:space="preserve"> site </w:t>
            </w:r>
            <w:r w:rsidR="00D11D01">
              <w:rPr>
                <w:sz w:val="20"/>
                <w:szCs w:val="20"/>
              </w:rPr>
              <w:t>being subject to contamination.</w:t>
            </w:r>
          </w:p>
        </w:tc>
        <w:tc>
          <w:tcPr>
            <w:tcW w:w="1038" w:type="dxa"/>
          </w:tcPr>
          <w:p w:rsidR="00D54663" w:rsidRDefault="00D11D01">
            <w:pPr>
              <w:rPr>
                <w:sz w:val="20"/>
                <w:szCs w:val="20"/>
              </w:rPr>
            </w:pPr>
            <w:r>
              <w:rPr>
                <w:sz w:val="20"/>
                <w:szCs w:val="20"/>
              </w:rPr>
              <w:t>Yes</w:t>
            </w:r>
          </w:p>
        </w:tc>
      </w:tr>
      <w:tr w:rsidR="006E09C9" w:rsidTr="00687524">
        <w:tc>
          <w:tcPr>
            <w:tcW w:w="1668" w:type="dxa"/>
          </w:tcPr>
          <w:p w:rsidR="006E09C9" w:rsidRPr="009D7AF3" w:rsidRDefault="006E09C9">
            <w:pPr>
              <w:rPr>
                <w:sz w:val="20"/>
                <w:szCs w:val="20"/>
              </w:rPr>
            </w:pPr>
          </w:p>
        </w:tc>
        <w:tc>
          <w:tcPr>
            <w:tcW w:w="4110" w:type="dxa"/>
          </w:tcPr>
          <w:p w:rsidR="006E09C9" w:rsidRDefault="006E09C9" w:rsidP="00D54663">
            <w:pPr>
              <w:rPr>
                <w:sz w:val="20"/>
                <w:szCs w:val="20"/>
              </w:rPr>
            </w:pPr>
          </w:p>
        </w:tc>
        <w:tc>
          <w:tcPr>
            <w:tcW w:w="7358" w:type="dxa"/>
          </w:tcPr>
          <w:p w:rsidR="006E09C9" w:rsidRDefault="006E09C9">
            <w:pPr>
              <w:rPr>
                <w:sz w:val="20"/>
                <w:szCs w:val="20"/>
              </w:rPr>
            </w:pPr>
          </w:p>
        </w:tc>
        <w:tc>
          <w:tcPr>
            <w:tcW w:w="1038" w:type="dxa"/>
          </w:tcPr>
          <w:p w:rsidR="006E09C9" w:rsidRDefault="006E09C9">
            <w:pPr>
              <w:rPr>
                <w:sz w:val="20"/>
                <w:szCs w:val="20"/>
              </w:rPr>
            </w:pPr>
          </w:p>
        </w:tc>
      </w:tr>
    </w:tbl>
    <w:p w:rsidR="005062E2" w:rsidRDefault="005062E2"/>
    <w:tbl>
      <w:tblPr>
        <w:tblStyle w:val="LightGrid-Accent6"/>
        <w:tblW w:w="0" w:type="auto"/>
        <w:tblLook w:val="0620"/>
      </w:tblPr>
      <w:tblGrid>
        <w:gridCol w:w="1668"/>
        <w:gridCol w:w="4110"/>
        <w:gridCol w:w="7358"/>
        <w:gridCol w:w="1038"/>
      </w:tblGrid>
      <w:tr w:rsidR="00687524" w:rsidTr="00687524">
        <w:trPr>
          <w:cnfStyle w:val="100000000000"/>
        </w:trPr>
        <w:tc>
          <w:tcPr>
            <w:tcW w:w="1668" w:type="dxa"/>
          </w:tcPr>
          <w:p w:rsidR="00687524" w:rsidRPr="00687524" w:rsidRDefault="00687524">
            <w:pPr>
              <w:rPr>
                <w:b w:val="0"/>
                <w:sz w:val="20"/>
                <w:szCs w:val="20"/>
              </w:rPr>
            </w:pPr>
            <w:r w:rsidRPr="00687524">
              <w:rPr>
                <w:b w:val="0"/>
                <w:sz w:val="20"/>
                <w:szCs w:val="20"/>
              </w:rPr>
              <w:t>S117 Direction</w:t>
            </w:r>
          </w:p>
        </w:tc>
        <w:tc>
          <w:tcPr>
            <w:tcW w:w="4110" w:type="dxa"/>
          </w:tcPr>
          <w:p w:rsidR="00687524" w:rsidRPr="00687524" w:rsidRDefault="00687524">
            <w:pPr>
              <w:rPr>
                <w:b w:val="0"/>
                <w:sz w:val="20"/>
                <w:szCs w:val="20"/>
              </w:rPr>
            </w:pPr>
            <w:r w:rsidRPr="00687524">
              <w:rPr>
                <w:b w:val="0"/>
                <w:sz w:val="20"/>
                <w:szCs w:val="20"/>
              </w:rPr>
              <w:t>Direction Objective</w:t>
            </w:r>
          </w:p>
        </w:tc>
        <w:tc>
          <w:tcPr>
            <w:tcW w:w="7358" w:type="dxa"/>
          </w:tcPr>
          <w:p w:rsidR="00687524" w:rsidRPr="00687524" w:rsidRDefault="00687524">
            <w:pPr>
              <w:rPr>
                <w:b w:val="0"/>
                <w:sz w:val="20"/>
                <w:szCs w:val="20"/>
              </w:rPr>
            </w:pPr>
            <w:r w:rsidRPr="00687524">
              <w:rPr>
                <w:b w:val="0"/>
                <w:sz w:val="20"/>
                <w:szCs w:val="20"/>
              </w:rPr>
              <w:t>Planning Proposal</w:t>
            </w:r>
          </w:p>
        </w:tc>
        <w:tc>
          <w:tcPr>
            <w:tcW w:w="1038" w:type="dxa"/>
          </w:tcPr>
          <w:p w:rsidR="00687524" w:rsidRPr="00687524" w:rsidRDefault="00687524">
            <w:pPr>
              <w:rPr>
                <w:b w:val="0"/>
                <w:sz w:val="20"/>
                <w:szCs w:val="20"/>
              </w:rPr>
            </w:pPr>
            <w:r w:rsidRPr="00687524">
              <w:rPr>
                <w:b w:val="0"/>
                <w:sz w:val="20"/>
                <w:szCs w:val="20"/>
              </w:rPr>
              <w:t>Complies</w:t>
            </w:r>
          </w:p>
        </w:tc>
      </w:tr>
      <w:tr w:rsidR="00B77F6F" w:rsidTr="00687524">
        <w:tc>
          <w:tcPr>
            <w:tcW w:w="1668" w:type="dxa"/>
          </w:tcPr>
          <w:p w:rsidR="00B77F6F" w:rsidRPr="00596B8D" w:rsidRDefault="00B77F6F">
            <w:pPr>
              <w:rPr>
                <w:sz w:val="20"/>
                <w:szCs w:val="20"/>
              </w:rPr>
            </w:pPr>
            <w:r>
              <w:rPr>
                <w:sz w:val="20"/>
                <w:szCs w:val="20"/>
              </w:rPr>
              <w:t>1.2 Rural Zones</w:t>
            </w:r>
          </w:p>
        </w:tc>
        <w:tc>
          <w:tcPr>
            <w:tcW w:w="4110" w:type="dxa"/>
          </w:tcPr>
          <w:p w:rsidR="00B77F6F" w:rsidRPr="00596B8D" w:rsidRDefault="00C5064E">
            <w:pPr>
              <w:rPr>
                <w:sz w:val="20"/>
                <w:szCs w:val="20"/>
              </w:rPr>
            </w:pPr>
            <w:r>
              <w:rPr>
                <w:sz w:val="20"/>
                <w:szCs w:val="20"/>
              </w:rPr>
              <w:t>The objective of this S117 Ministerial Direction is to protect the agricultural production value of rural land.</w:t>
            </w:r>
          </w:p>
        </w:tc>
        <w:tc>
          <w:tcPr>
            <w:tcW w:w="7358" w:type="dxa"/>
          </w:tcPr>
          <w:p w:rsidR="00B77F6F" w:rsidRDefault="0022353C" w:rsidP="00596B8D">
            <w:pPr>
              <w:rPr>
                <w:sz w:val="20"/>
                <w:szCs w:val="20"/>
              </w:rPr>
            </w:pPr>
            <w:r>
              <w:rPr>
                <w:sz w:val="20"/>
                <w:szCs w:val="20"/>
              </w:rPr>
              <w:t xml:space="preserve">Clause 4(a) of this direction applies to all planning authorities and directs that a planning proposal does not rezone land from a rural zone to a residential, industrial, village or tourist zone. </w:t>
            </w:r>
          </w:p>
          <w:p w:rsidR="0022353C" w:rsidRDefault="0022353C" w:rsidP="00596B8D">
            <w:pPr>
              <w:rPr>
                <w:sz w:val="20"/>
                <w:szCs w:val="20"/>
              </w:rPr>
            </w:pPr>
            <w:r>
              <w:rPr>
                <w:sz w:val="20"/>
                <w:szCs w:val="20"/>
              </w:rPr>
              <w:t>The planning proposal does not seek to rezone the land, currently RU1 Primary Production and R5 Large Lot Residential zone</w:t>
            </w:r>
            <w:r w:rsidR="0022796F">
              <w:rPr>
                <w:sz w:val="20"/>
                <w:szCs w:val="20"/>
              </w:rPr>
              <w:t xml:space="preserve">, but to allow additional permitted uses that are </w:t>
            </w:r>
            <w:r w:rsidR="003860B6">
              <w:rPr>
                <w:sz w:val="20"/>
                <w:szCs w:val="20"/>
              </w:rPr>
              <w:t xml:space="preserve">currently </w:t>
            </w:r>
            <w:r w:rsidR="0022796F">
              <w:rPr>
                <w:sz w:val="20"/>
                <w:szCs w:val="20"/>
              </w:rPr>
              <w:t>prohibited</w:t>
            </w:r>
            <w:r>
              <w:rPr>
                <w:sz w:val="20"/>
                <w:szCs w:val="20"/>
              </w:rPr>
              <w:t>. I</w:t>
            </w:r>
            <w:r w:rsidRPr="00596B8D">
              <w:rPr>
                <w:sz w:val="20"/>
                <w:szCs w:val="20"/>
              </w:rPr>
              <w:t>n its current state, any loss of agricultural production value is minimal and of minor significance due to its previous and current lack of agricultural productivity.</w:t>
            </w:r>
          </w:p>
        </w:tc>
        <w:tc>
          <w:tcPr>
            <w:tcW w:w="1038" w:type="dxa"/>
          </w:tcPr>
          <w:p w:rsidR="00B77F6F" w:rsidRDefault="0022353C">
            <w:pPr>
              <w:rPr>
                <w:sz w:val="20"/>
                <w:szCs w:val="20"/>
              </w:rPr>
            </w:pPr>
            <w:r>
              <w:rPr>
                <w:sz w:val="20"/>
                <w:szCs w:val="20"/>
              </w:rPr>
              <w:t>Yes</w:t>
            </w:r>
          </w:p>
        </w:tc>
      </w:tr>
      <w:tr w:rsidR="00687524" w:rsidTr="00687524">
        <w:tc>
          <w:tcPr>
            <w:tcW w:w="1668" w:type="dxa"/>
          </w:tcPr>
          <w:p w:rsidR="00687524" w:rsidRPr="00596B8D" w:rsidRDefault="00596B8D">
            <w:pPr>
              <w:rPr>
                <w:sz w:val="20"/>
                <w:szCs w:val="20"/>
              </w:rPr>
            </w:pPr>
            <w:r w:rsidRPr="00596B8D">
              <w:rPr>
                <w:sz w:val="20"/>
                <w:szCs w:val="20"/>
              </w:rPr>
              <w:t>1.5 Rural Lands</w:t>
            </w:r>
          </w:p>
        </w:tc>
        <w:tc>
          <w:tcPr>
            <w:tcW w:w="4110" w:type="dxa"/>
          </w:tcPr>
          <w:p w:rsidR="00687524" w:rsidRPr="00596B8D" w:rsidRDefault="00C5064E">
            <w:pPr>
              <w:rPr>
                <w:i/>
                <w:sz w:val="20"/>
                <w:szCs w:val="20"/>
              </w:rPr>
            </w:pPr>
            <w:r>
              <w:rPr>
                <w:sz w:val="20"/>
                <w:szCs w:val="20"/>
              </w:rPr>
              <w:t>The objectives of this S117 Ministerial Direction</w:t>
            </w:r>
            <w:r w:rsidR="00596B8D" w:rsidRPr="00596B8D">
              <w:rPr>
                <w:sz w:val="20"/>
                <w:szCs w:val="20"/>
              </w:rPr>
              <w:t xml:space="preserve"> for rural lands are to </w:t>
            </w:r>
            <w:r w:rsidR="00596B8D" w:rsidRPr="00596B8D">
              <w:rPr>
                <w:i/>
                <w:sz w:val="20"/>
                <w:szCs w:val="20"/>
              </w:rPr>
              <w:t xml:space="preserve">protect the agricultural production value of rural land </w:t>
            </w:r>
            <w:r w:rsidR="00596B8D" w:rsidRPr="00596B8D">
              <w:rPr>
                <w:sz w:val="20"/>
                <w:szCs w:val="20"/>
              </w:rPr>
              <w:t xml:space="preserve">and </w:t>
            </w:r>
            <w:r w:rsidR="00596B8D" w:rsidRPr="00596B8D">
              <w:rPr>
                <w:i/>
                <w:sz w:val="20"/>
                <w:szCs w:val="20"/>
              </w:rPr>
              <w:t>facilitate the orderly and economic development of rural lands for rural and related purposes.</w:t>
            </w:r>
          </w:p>
        </w:tc>
        <w:tc>
          <w:tcPr>
            <w:tcW w:w="7358" w:type="dxa"/>
          </w:tcPr>
          <w:p w:rsidR="00596B8D" w:rsidRPr="00596B8D" w:rsidRDefault="00C71197" w:rsidP="00596B8D">
            <w:pPr>
              <w:rPr>
                <w:sz w:val="20"/>
                <w:szCs w:val="20"/>
              </w:rPr>
            </w:pPr>
            <w:r>
              <w:rPr>
                <w:sz w:val="20"/>
                <w:szCs w:val="20"/>
              </w:rPr>
              <w:t>T</w:t>
            </w:r>
            <w:r w:rsidR="00596B8D" w:rsidRPr="00596B8D">
              <w:rPr>
                <w:sz w:val="20"/>
                <w:szCs w:val="20"/>
              </w:rPr>
              <w:t>he subject lots are not used by the current owner for agricultural purposes. Lot 38 DP756936 currently contains a small existing and operational caravan park, while the balance of the land associated with this planning proposal is vacant and unused. There</w:t>
            </w:r>
            <w:r>
              <w:rPr>
                <w:sz w:val="20"/>
                <w:szCs w:val="20"/>
              </w:rPr>
              <w:t>fore, i</w:t>
            </w:r>
            <w:r w:rsidR="00596B8D" w:rsidRPr="00596B8D">
              <w:rPr>
                <w:sz w:val="20"/>
                <w:szCs w:val="20"/>
              </w:rPr>
              <w:t xml:space="preserve">n its current state, any loss of agricultural production value is minimal and of minor significance due to its previous and current lack of agricultural productivity. </w:t>
            </w:r>
          </w:p>
          <w:p w:rsidR="00687524" w:rsidRDefault="00687524"/>
        </w:tc>
        <w:tc>
          <w:tcPr>
            <w:tcW w:w="1038" w:type="dxa"/>
          </w:tcPr>
          <w:p w:rsidR="00687524" w:rsidRPr="00596B8D" w:rsidRDefault="00754A5A">
            <w:pPr>
              <w:rPr>
                <w:sz w:val="20"/>
                <w:szCs w:val="20"/>
              </w:rPr>
            </w:pPr>
            <w:r>
              <w:rPr>
                <w:sz w:val="20"/>
                <w:szCs w:val="20"/>
              </w:rPr>
              <w:t>Yes</w:t>
            </w:r>
          </w:p>
        </w:tc>
      </w:tr>
      <w:tr w:rsidR="006C061C" w:rsidTr="00687524">
        <w:tc>
          <w:tcPr>
            <w:tcW w:w="1668" w:type="dxa"/>
          </w:tcPr>
          <w:p w:rsidR="006C061C" w:rsidRPr="00596B8D" w:rsidRDefault="006C061C">
            <w:pPr>
              <w:rPr>
                <w:sz w:val="20"/>
                <w:szCs w:val="20"/>
              </w:rPr>
            </w:pPr>
            <w:r>
              <w:rPr>
                <w:sz w:val="20"/>
                <w:szCs w:val="20"/>
              </w:rPr>
              <w:t>3.4 Integrating Land Use and Transport</w:t>
            </w:r>
          </w:p>
        </w:tc>
        <w:tc>
          <w:tcPr>
            <w:tcW w:w="4110" w:type="dxa"/>
          </w:tcPr>
          <w:p w:rsidR="006C061C" w:rsidRPr="009D7AF3" w:rsidRDefault="00A035D8" w:rsidP="005E7D9C">
            <w:pPr>
              <w:rPr>
                <w:sz w:val="20"/>
                <w:szCs w:val="20"/>
              </w:rPr>
            </w:pPr>
            <w:r>
              <w:rPr>
                <w:sz w:val="20"/>
                <w:szCs w:val="20"/>
              </w:rPr>
              <w:t>The objective</w:t>
            </w:r>
            <w:r w:rsidR="006C061C">
              <w:rPr>
                <w:sz w:val="20"/>
                <w:szCs w:val="20"/>
              </w:rPr>
              <w:t xml:space="preserve"> of this direction is to improve access, increase choice of transport available,</w:t>
            </w:r>
            <w:r w:rsidR="00642DBA">
              <w:rPr>
                <w:sz w:val="20"/>
                <w:szCs w:val="20"/>
              </w:rPr>
              <w:t xml:space="preserve"> reduce car dependence, </w:t>
            </w:r>
            <w:proofErr w:type="gramStart"/>
            <w:r w:rsidR="00642DBA">
              <w:rPr>
                <w:sz w:val="20"/>
                <w:szCs w:val="20"/>
              </w:rPr>
              <w:t>support</w:t>
            </w:r>
            <w:proofErr w:type="gramEnd"/>
            <w:r w:rsidR="00642DBA">
              <w:rPr>
                <w:sz w:val="20"/>
                <w:szCs w:val="20"/>
              </w:rPr>
              <w:t xml:space="preserve"> </w:t>
            </w:r>
            <w:r w:rsidR="006C061C">
              <w:rPr>
                <w:sz w:val="20"/>
                <w:szCs w:val="20"/>
              </w:rPr>
              <w:t>public transport use and efficient movement of freight.</w:t>
            </w:r>
          </w:p>
        </w:tc>
        <w:tc>
          <w:tcPr>
            <w:tcW w:w="7358" w:type="dxa"/>
          </w:tcPr>
          <w:p w:rsidR="006C061C" w:rsidRDefault="006C061C" w:rsidP="00596B8D">
            <w:pPr>
              <w:rPr>
                <w:sz w:val="20"/>
                <w:szCs w:val="20"/>
              </w:rPr>
            </w:pPr>
            <w:r>
              <w:rPr>
                <w:sz w:val="20"/>
                <w:szCs w:val="20"/>
              </w:rPr>
              <w:t>Existing access to the site is provided by all weather roads from the Sturt Highway.</w:t>
            </w:r>
          </w:p>
          <w:p w:rsidR="006C061C" w:rsidRDefault="006C061C" w:rsidP="00596B8D">
            <w:pPr>
              <w:rPr>
                <w:sz w:val="20"/>
                <w:szCs w:val="20"/>
              </w:rPr>
            </w:pPr>
            <w:r>
              <w:rPr>
                <w:sz w:val="20"/>
                <w:szCs w:val="20"/>
              </w:rPr>
              <w:t xml:space="preserve">Works will be required to be undertaken to provide an all weather access and the design and construction of these accesses will require consultation with Roads &amp; Maritime Services.  </w:t>
            </w:r>
          </w:p>
        </w:tc>
        <w:tc>
          <w:tcPr>
            <w:tcW w:w="1038" w:type="dxa"/>
          </w:tcPr>
          <w:p w:rsidR="006C061C" w:rsidRDefault="006C061C">
            <w:pPr>
              <w:rPr>
                <w:sz w:val="20"/>
                <w:szCs w:val="20"/>
              </w:rPr>
            </w:pPr>
            <w:r>
              <w:rPr>
                <w:sz w:val="20"/>
                <w:szCs w:val="20"/>
              </w:rPr>
              <w:t>Yes</w:t>
            </w:r>
          </w:p>
        </w:tc>
      </w:tr>
      <w:tr w:rsidR="00717EF7" w:rsidTr="00687524">
        <w:tc>
          <w:tcPr>
            <w:tcW w:w="1668" w:type="dxa"/>
          </w:tcPr>
          <w:p w:rsidR="00717EF7" w:rsidRDefault="00717EF7">
            <w:pPr>
              <w:rPr>
                <w:sz w:val="20"/>
                <w:szCs w:val="20"/>
              </w:rPr>
            </w:pPr>
            <w:r>
              <w:rPr>
                <w:sz w:val="20"/>
                <w:szCs w:val="20"/>
              </w:rPr>
              <w:t xml:space="preserve">6.3 Site Specific </w:t>
            </w:r>
            <w:r>
              <w:rPr>
                <w:sz w:val="20"/>
                <w:szCs w:val="20"/>
              </w:rPr>
              <w:lastRenderedPageBreak/>
              <w:t>Provisions</w:t>
            </w:r>
          </w:p>
        </w:tc>
        <w:tc>
          <w:tcPr>
            <w:tcW w:w="4110" w:type="dxa"/>
          </w:tcPr>
          <w:p w:rsidR="00717EF7" w:rsidRDefault="003860B6" w:rsidP="005E7D9C">
            <w:pPr>
              <w:rPr>
                <w:sz w:val="20"/>
                <w:szCs w:val="20"/>
              </w:rPr>
            </w:pPr>
            <w:r>
              <w:rPr>
                <w:sz w:val="20"/>
                <w:szCs w:val="20"/>
              </w:rPr>
              <w:lastRenderedPageBreak/>
              <w:t xml:space="preserve">The objective of this direction is to discourage </w:t>
            </w:r>
            <w:r>
              <w:rPr>
                <w:sz w:val="20"/>
                <w:szCs w:val="20"/>
              </w:rPr>
              <w:lastRenderedPageBreak/>
              <w:t>unnecessary restrictive planning controls.</w:t>
            </w:r>
          </w:p>
        </w:tc>
        <w:tc>
          <w:tcPr>
            <w:tcW w:w="7358" w:type="dxa"/>
          </w:tcPr>
          <w:p w:rsidR="00717EF7" w:rsidRDefault="003860B6" w:rsidP="00596B8D">
            <w:pPr>
              <w:rPr>
                <w:sz w:val="20"/>
                <w:szCs w:val="20"/>
              </w:rPr>
            </w:pPr>
            <w:r>
              <w:rPr>
                <w:sz w:val="20"/>
                <w:szCs w:val="20"/>
              </w:rPr>
              <w:lastRenderedPageBreak/>
              <w:t>The planning proposal aims to allow a particular development on the subject site</w:t>
            </w:r>
            <w:r w:rsidR="00754A5A">
              <w:rPr>
                <w:sz w:val="20"/>
                <w:szCs w:val="20"/>
              </w:rPr>
              <w:t>,</w:t>
            </w:r>
            <w:r>
              <w:rPr>
                <w:sz w:val="20"/>
                <w:szCs w:val="20"/>
              </w:rPr>
              <w:t xml:space="preserve"> </w:t>
            </w:r>
            <w:r w:rsidR="00754A5A">
              <w:rPr>
                <w:sz w:val="20"/>
                <w:szCs w:val="20"/>
              </w:rPr>
              <w:t xml:space="preserve">in the </w:t>
            </w:r>
            <w:r w:rsidR="00754A5A">
              <w:rPr>
                <w:sz w:val="20"/>
                <w:szCs w:val="20"/>
              </w:rPr>
              <w:lastRenderedPageBreak/>
              <w:t xml:space="preserve">current zone, </w:t>
            </w:r>
            <w:r>
              <w:rPr>
                <w:sz w:val="20"/>
                <w:szCs w:val="20"/>
              </w:rPr>
              <w:t>by amending Schedule 1 of the Wentworth LEP</w:t>
            </w:r>
            <w:r w:rsidR="00754A5A">
              <w:rPr>
                <w:sz w:val="20"/>
                <w:szCs w:val="20"/>
              </w:rPr>
              <w:t>.</w:t>
            </w:r>
          </w:p>
          <w:p w:rsidR="00754A5A" w:rsidRDefault="00754A5A" w:rsidP="00596B8D">
            <w:pPr>
              <w:rPr>
                <w:sz w:val="20"/>
                <w:szCs w:val="20"/>
              </w:rPr>
            </w:pPr>
            <w:r>
              <w:rPr>
                <w:sz w:val="20"/>
                <w:szCs w:val="20"/>
              </w:rPr>
              <w:t>While the planning proposal does include draft concept plans to provide certain clarity of the permitted use/development, the planning proposal should not be assessed based on those plans. It is anticipated that at the Development Application stage, the plans may have changed considerably to comply with referral agency requirements.</w:t>
            </w:r>
          </w:p>
        </w:tc>
        <w:tc>
          <w:tcPr>
            <w:tcW w:w="1038" w:type="dxa"/>
          </w:tcPr>
          <w:p w:rsidR="00717EF7" w:rsidRDefault="00754A5A">
            <w:pPr>
              <w:rPr>
                <w:sz w:val="20"/>
                <w:szCs w:val="20"/>
              </w:rPr>
            </w:pPr>
            <w:r>
              <w:rPr>
                <w:sz w:val="20"/>
                <w:szCs w:val="20"/>
              </w:rPr>
              <w:lastRenderedPageBreak/>
              <w:t>Yes</w:t>
            </w:r>
          </w:p>
        </w:tc>
      </w:tr>
    </w:tbl>
    <w:p w:rsidR="00687524" w:rsidRDefault="00687524"/>
    <w:sectPr w:rsidR="00687524" w:rsidSect="00687524">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663" w:rsidRDefault="00D54663" w:rsidP="00687524">
      <w:pPr>
        <w:spacing w:after="0" w:line="240" w:lineRule="auto"/>
      </w:pPr>
      <w:r>
        <w:separator/>
      </w:r>
    </w:p>
  </w:endnote>
  <w:endnote w:type="continuationSeparator" w:id="0">
    <w:p w:rsidR="00D54663" w:rsidRDefault="00D54663" w:rsidP="00687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1486"/>
      <w:docPartObj>
        <w:docPartGallery w:val="Page Numbers (Bottom of Page)"/>
        <w:docPartUnique/>
      </w:docPartObj>
    </w:sdtPr>
    <w:sdtEndPr>
      <w:rPr>
        <w:color w:val="7F7F7F" w:themeColor="background1" w:themeShade="7F"/>
        <w:spacing w:val="60"/>
      </w:rPr>
    </w:sdtEndPr>
    <w:sdtContent>
      <w:p w:rsidR="00D54663" w:rsidRDefault="00013FA1">
        <w:pPr>
          <w:pStyle w:val="Footer"/>
          <w:pBdr>
            <w:top w:val="single" w:sz="4" w:space="1" w:color="D9D9D9" w:themeColor="background1" w:themeShade="D9"/>
          </w:pBdr>
          <w:jc w:val="right"/>
        </w:pPr>
        <w:fldSimple w:instr=" PAGE   \* MERGEFORMAT ">
          <w:r w:rsidR="00F509F5">
            <w:rPr>
              <w:noProof/>
            </w:rPr>
            <w:t>1</w:t>
          </w:r>
        </w:fldSimple>
        <w:r w:rsidR="00D54663">
          <w:t xml:space="preserve"> | </w:t>
        </w:r>
        <w:r w:rsidR="00D54663">
          <w:rPr>
            <w:color w:val="7F7F7F" w:themeColor="background1" w:themeShade="7F"/>
            <w:spacing w:val="60"/>
          </w:rPr>
          <w:t>Page</w:t>
        </w:r>
      </w:p>
    </w:sdtContent>
  </w:sdt>
  <w:p w:rsidR="00D54663" w:rsidRDefault="00D546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663" w:rsidRDefault="00D54663" w:rsidP="00687524">
      <w:pPr>
        <w:spacing w:after="0" w:line="240" w:lineRule="auto"/>
      </w:pPr>
      <w:r>
        <w:separator/>
      </w:r>
    </w:p>
  </w:footnote>
  <w:footnote w:type="continuationSeparator" w:id="0">
    <w:p w:rsidR="00D54663" w:rsidRDefault="00D54663" w:rsidP="00687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63" w:rsidRPr="00194E64" w:rsidRDefault="00013FA1" w:rsidP="00687524">
    <w:pPr>
      <w:pStyle w:val="Header"/>
      <w:jc w:val="center"/>
      <w:rPr>
        <w:b/>
        <w:color w:val="632423" w:themeColor="accent2" w:themeShade="80"/>
        <w:sz w:val="24"/>
        <w:szCs w:val="24"/>
      </w:rPr>
    </w:pPr>
    <w:sdt>
      <w:sdtPr>
        <w:rPr>
          <w:b/>
          <w:color w:val="984806" w:themeColor="accent6" w:themeShade="80"/>
          <w:sz w:val="24"/>
          <w:szCs w:val="24"/>
        </w:rPr>
        <w:alias w:val="Title"/>
        <w:id w:val="78404852"/>
        <w:placeholder>
          <w:docPart w:val="89955FF193934EF682C2012181DCD0BC"/>
        </w:placeholder>
        <w:dataBinding w:prefixMappings="xmlns:ns0='http://schemas.openxmlformats.org/package/2006/metadata/core-properties' xmlns:ns1='http://purl.org/dc/elements/1.1/'" w:xpath="/ns0:coreProperties[1]/ns1:title[1]" w:storeItemID="{6C3C8BC8-F283-45AE-878A-BAB7291924A1}"/>
        <w:text/>
      </w:sdtPr>
      <w:sdtContent>
        <w:r w:rsidR="00D54663" w:rsidRPr="00E7411A">
          <w:rPr>
            <w:b/>
            <w:color w:val="984806" w:themeColor="accent6" w:themeShade="80"/>
            <w:sz w:val="24"/>
            <w:szCs w:val="24"/>
          </w:rPr>
          <w:t>Wentworth Shire Council</w:t>
        </w:r>
        <w:r w:rsidR="00D54663">
          <w:rPr>
            <w:b/>
            <w:color w:val="984806" w:themeColor="accent6" w:themeShade="80"/>
            <w:sz w:val="24"/>
            <w:szCs w:val="24"/>
          </w:rPr>
          <w:t xml:space="preserve"> – Planning Proposal</w:t>
        </w:r>
        <w:r w:rsidR="006C061C">
          <w:rPr>
            <w:b/>
            <w:color w:val="984806" w:themeColor="accent6" w:themeShade="80"/>
            <w:sz w:val="24"/>
            <w:szCs w:val="24"/>
          </w:rPr>
          <w:t xml:space="preserve"> # 10</w:t>
        </w:r>
      </w:sdtContent>
    </w:sdt>
    <w:r w:rsidR="00D54663" w:rsidRPr="00E7411A">
      <w:rPr>
        <w:rFonts w:asciiTheme="majorHAnsi" w:eastAsiaTheme="majorEastAsia" w:hAnsiTheme="majorHAnsi" w:cstheme="majorBidi"/>
        <w:b/>
        <w:color w:val="4F81BD" w:themeColor="accent1"/>
        <w:sz w:val="24"/>
        <w:szCs w:val="24"/>
      </w:rPr>
      <w:ptab w:relativeTo="margin" w:alignment="right" w:leader="none"/>
    </w:r>
    <w:sdt>
      <w:sdtPr>
        <w:rPr>
          <w:rFonts w:eastAsiaTheme="majorEastAsia" w:cstheme="majorBidi"/>
          <w:b/>
          <w:color w:val="984806" w:themeColor="accent6" w:themeShade="80"/>
          <w:sz w:val="24"/>
          <w:szCs w:val="24"/>
        </w:rPr>
        <w:alias w:val="Date"/>
        <w:id w:val="78404859"/>
        <w:placeholder>
          <w:docPart w:val="20829FF7051B4084B0E2EBCE0D314FB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D54663" w:rsidRPr="00E7411A">
          <w:rPr>
            <w:rFonts w:eastAsiaTheme="majorEastAsia" w:cstheme="majorBidi"/>
            <w:b/>
            <w:color w:val="984806" w:themeColor="accent6" w:themeShade="80"/>
            <w:sz w:val="24"/>
            <w:szCs w:val="24"/>
          </w:rPr>
          <w:t>Consistency with SEPP Policies &amp; S117 Directions</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7524"/>
    <w:rsid w:val="00013FA1"/>
    <w:rsid w:val="00066986"/>
    <w:rsid w:val="00194E64"/>
    <w:rsid w:val="001F3B79"/>
    <w:rsid w:val="0022353C"/>
    <w:rsid w:val="0022796F"/>
    <w:rsid w:val="002C49BC"/>
    <w:rsid w:val="00331B25"/>
    <w:rsid w:val="003860B6"/>
    <w:rsid w:val="005062E2"/>
    <w:rsid w:val="00596B8D"/>
    <w:rsid w:val="0061123C"/>
    <w:rsid w:val="00642DBA"/>
    <w:rsid w:val="00687524"/>
    <w:rsid w:val="006C061C"/>
    <w:rsid w:val="006E09C9"/>
    <w:rsid w:val="00717EF7"/>
    <w:rsid w:val="00754A5A"/>
    <w:rsid w:val="0099360C"/>
    <w:rsid w:val="00A00675"/>
    <w:rsid w:val="00A035D8"/>
    <w:rsid w:val="00A262A5"/>
    <w:rsid w:val="00B628A3"/>
    <w:rsid w:val="00B77F6F"/>
    <w:rsid w:val="00C5064E"/>
    <w:rsid w:val="00C71197"/>
    <w:rsid w:val="00CA14DB"/>
    <w:rsid w:val="00D11D01"/>
    <w:rsid w:val="00D54663"/>
    <w:rsid w:val="00DE2A90"/>
    <w:rsid w:val="00E7411A"/>
    <w:rsid w:val="00F509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24"/>
  </w:style>
  <w:style w:type="paragraph" w:styleId="Footer">
    <w:name w:val="footer"/>
    <w:basedOn w:val="Normal"/>
    <w:link w:val="FooterChar"/>
    <w:uiPriority w:val="99"/>
    <w:unhideWhenUsed/>
    <w:rsid w:val="00687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24"/>
  </w:style>
  <w:style w:type="table" w:styleId="LightList-Accent6">
    <w:name w:val="Light List Accent 6"/>
    <w:basedOn w:val="TableNormal"/>
    <w:uiPriority w:val="61"/>
    <w:rsid w:val="006875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875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68752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6875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E7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955FF193934EF682C2012181DCD0BC"/>
        <w:category>
          <w:name w:val="General"/>
          <w:gallery w:val="placeholder"/>
        </w:category>
        <w:types>
          <w:type w:val="bbPlcHdr"/>
        </w:types>
        <w:behaviors>
          <w:behavior w:val="content"/>
        </w:behaviors>
        <w:guid w:val="{62BAA83A-464B-4813-8CB3-E46E7275D3A9}"/>
      </w:docPartPr>
      <w:docPartBody>
        <w:p w:rsidR="00EF7C1E" w:rsidRDefault="00F66D97" w:rsidP="00F66D97">
          <w:pPr>
            <w:pStyle w:val="89955FF193934EF682C2012181DCD0BC"/>
          </w:pPr>
          <w:r>
            <w:rPr>
              <w:rFonts w:asciiTheme="majorHAnsi" w:eastAsiaTheme="majorEastAsia" w:hAnsiTheme="majorHAnsi" w:cstheme="majorBidi"/>
              <w:color w:val="4F81BD" w:themeColor="accent1"/>
              <w:sz w:val="24"/>
              <w:szCs w:val="24"/>
            </w:rPr>
            <w:t>[Type the document title]</w:t>
          </w:r>
        </w:p>
      </w:docPartBody>
    </w:docPart>
    <w:docPart>
      <w:docPartPr>
        <w:name w:val="20829FF7051B4084B0E2EBCE0D314FB8"/>
        <w:category>
          <w:name w:val="General"/>
          <w:gallery w:val="placeholder"/>
        </w:category>
        <w:types>
          <w:type w:val="bbPlcHdr"/>
        </w:types>
        <w:behaviors>
          <w:behavior w:val="content"/>
        </w:behaviors>
        <w:guid w:val="{89EE7B99-BDB2-40CF-95DA-7864E21CC312}"/>
      </w:docPartPr>
      <w:docPartBody>
        <w:p w:rsidR="00EF7C1E" w:rsidRDefault="00F66D97" w:rsidP="00F66D97">
          <w:pPr>
            <w:pStyle w:val="20829FF7051B4084B0E2EBCE0D314FB8"/>
          </w:pPr>
          <w:r>
            <w:rPr>
              <w:rFonts w:asciiTheme="majorHAnsi" w:eastAsiaTheme="majorEastAsia" w:hAnsiTheme="majorHAnsi" w:cstheme="majorBidi"/>
              <w:color w:val="4F81BD" w:themeColor="accent1"/>
              <w:sz w:val="24"/>
              <w:szCs w:val="24"/>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66D97"/>
    <w:rsid w:val="00A02EB1"/>
    <w:rsid w:val="00A840B7"/>
    <w:rsid w:val="00EF7C1E"/>
    <w:rsid w:val="00F66D97"/>
    <w:rsid w:val="00FB35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89AD0EF884D48BF1D7A0F279C9D0C">
    <w:name w:val="3EA89AD0EF884D48BF1D7A0F279C9D0C"/>
    <w:rsid w:val="00F66D97"/>
  </w:style>
  <w:style w:type="paragraph" w:customStyle="1" w:styleId="8D4EBBA2C82140B6A27EFA2375EEB3AE">
    <w:name w:val="8D4EBBA2C82140B6A27EFA2375EEB3AE"/>
    <w:rsid w:val="00F66D97"/>
  </w:style>
  <w:style w:type="paragraph" w:customStyle="1" w:styleId="89955FF193934EF682C2012181DCD0BC">
    <w:name w:val="89955FF193934EF682C2012181DCD0BC"/>
    <w:rsid w:val="00F66D97"/>
  </w:style>
  <w:style w:type="paragraph" w:customStyle="1" w:styleId="20829FF7051B4084B0E2EBCE0D314FB8">
    <w:name w:val="20829FF7051B4084B0E2EBCE0D314FB8"/>
    <w:rsid w:val="00F66D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Consistency with SEPP Policies &amp; S117 Directions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Wentworth Shire Council – Planning Proposal # 10</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Wentworth Shire Council – Planning Proposal # 10</dc:title>
  <dc:creator>Michele Bos</dc:creator>
  <cp:lastModifiedBy>Michele Bos</cp:lastModifiedBy>
  <cp:revision>12</cp:revision>
  <dcterms:created xsi:type="dcterms:W3CDTF">2015-07-22T02:46:00Z</dcterms:created>
  <dcterms:modified xsi:type="dcterms:W3CDTF">2015-07-23T04:57:00Z</dcterms:modified>
</cp:coreProperties>
</file>